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4946"/>
        <w:gridCol w:w="1925"/>
        <w:gridCol w:w="149"/>
        <w:gridCol w:w="90"/>
        <w:gridCol w:w="181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7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9520DE" w:rsidRPr="00EC1099" w:rsidRDefault="009520DE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63432C" w:rsidRDefault="009520DE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Novi (</w:t>
            </w:r>
            <w:proofErr w:type="spell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mešoviti</w:t>
            </w:r>
            <w:proofErr w:type="spell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) </w:t>
            </w:r>
            <w:proofErr w:type="spell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proizvodi</w:t>
            </w:r>
            <w:proofErr w:type="spell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tržišta</w:t>
            </w:r>
            <w:proofErr w:type="spell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osiguranja</w:t>
            </w:r>
            <w:proofErr w:type="spell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– </w:t>
            </w:r>
            <w:proofErr w:type="spell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odgovor</w:t>
            </w:r>
            <w:proofErr w:type="spell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na</w:t>
            </w:r>
            <w:proofErr w:type="spell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izazove</w:t>
            </w:r>
            <w:proofErr w:type="spell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21.veka</w:t>
            </w:r>
            <w:proofErr w:type="gramEnd"/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8D2BAB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9520D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jun</w:t>
            </w:r>
            <w:r w:rsidR="0014513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520D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.30 – 14.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9520DE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09.</w:t>
            </w:r>
            <w:r w:rsidR="005A1CC8"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3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3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3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3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Šta su mešoviti proizvodi osiguranja – “Hibridi”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Pojam hibrida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su hibridi ograničeni na životna ili obuhvataju i neživotna osiguranja?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Karakteristike regulatornog okvira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srpski regulatorni okvir podsticajan za razvoj hibridnih proizvoda?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Značaj postojanja kompozitnih društava u Srbiji za razvoj hibridnih proizvoda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ugovorno zakodavstvo prati savremene tendencije?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Inostrana iskustva kao role model za Srbiju 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Hibrodni proizvodi osiguranja u oblasti osiguranja lica – mešoviti proizvodi tržišta osiguranja lica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Osiguranje od posledica nezgode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Dobrovoljno zdravstveno osiguranje 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Investiciono životno osiguranje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Osiguranje od posledica nezgode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Smrt kao osigurani rizik i isplata sume osiguranja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Invaliditet kao osigurani rizik i isplata sume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Prolazna nesposobnost za rad i isplata dnevnih naknada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Troškovi lečenja 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Dobrovoljno zdravstveno osiguranje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Bolest kao osigurani rizik i isplata troškova lečenja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Prolazna nesposobnost i isplata dnevnih naknada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Troškovi lečenja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Investiciono životno osiguranje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7.1.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Pojam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Pogodnosti za osiguranike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Rizičnost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Strategija za srpsko pravo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Hibridni proizvodi tržišta osiguranja imovine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7.1.Osiguranje na ugovorenu vrednost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7.2.Osiguranje na novu vrednost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Praksa na tržištu osiguranja i preporuke za umanjenje rizika u vezi sa hibridnim vrstama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Tendencije na srpskom i tržištu Evropske unije</w:t>
            </w:r>
          </w:p>
          <w:p w:rsidR="005A1CC8" w:rsidRPr="0085179C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Zaključak i diskusija  </w:t>
            </w:r>
          </w:p>
        </w:tc>
        <w:tc>
          <w:tcPr>
            <w:tcW w:w="327" w:type="dxa"/>
            <w:gridSpan w:val="3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9520DE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0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</w:t>
            </w:r>
            <w:r w:rsidR="009520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.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9520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Nataša </w:t>
            </w:r>
            <w:proofErr w:type="spellStart"/>
            <w:r w:rsidR="009520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Petrović-Tomić</w:t>
            </w:r>
            <w:proofErr w:type="spellEnd"/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3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031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8D2BA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9520D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D2BA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juna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9520D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="009520DE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011 4149 </w:t>
                  </w:r>
                  <w:r w:rsidR="008D2BAB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630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="009520DE" w:rsidRPr="009520DE">
                    <w:rPr>
                      <w:rFonts w:ascii="Calibri" w:hAnsi="Calibri" w:cs="Calibri"/>
                      <w:color w:val="FFFFFF" w:themeColor="background1"/>
                      <w:sz w:val="22"/>
                      <w:szCs w:val="22"/>
                    </w:rPr>
                    <w:t xml:space="preserve"> </w:t>
                  </w:r>
                  <w:hyperlink r:id="rId10" w:history="1">
                    <w:r w:rsidR="008D2BAB" w:rsidRPr="008D2BAB">
                      <w:rPr>
                        <w:rStyle w:val="Hyperlink"/>
                        <w:rFonts w:ascii="Calibri" w:hAnsi="Calibri" w:cs="Calibri"/>
                        <w:color w:val="FFFFFF" w:themeColor="background1"/>
                        <w:sz w:val="22"/>
                        <w:szCs w:val="22"/>
                      </w:rPr>
                      <w:t>jovana.grujic@pks.rs</w:t>
                    </w:r>
                  </w:hyperlink>
                  <w:r w:rsidR="009520DE" w:rsidRPr="008D2BAB">
                    <w:rPr>
                      <w:rFonts w:ascii="Calibri" w:hAnsi="Calibri" w:cs="Calibri"/>
                      <w:color w:val="FFFFFF" w:themeColor="background1"/>
                      <w:sz w:val="22"/>
                      <w:szCs w:val="22"/>
                    </w:rPr>
                    <w:t xml:space="preserve"> /</w:t>
                  </w:r>
                  <w:r w:rsidRPr="008D2BAB">
                    <w:rPr>
                      <w:rFonts w:ascii="Calibri" w:hAnsi="Calibri" w:cs="Calibri"/>
                      <w:color w:val="FFFFFF" w:themeColor="background1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  <w:bookmarkStart w:id="0" w:name="_GoBack"/>
      <w:bookmarkEnd w:id="0"/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E0D" w:rsidRDefault="00BA7E0D">
      <w:r>
        <w:separator/>
      </w:r>
    </w:p>
  </w:endnote>
  <w:endnote w:type="continuationSeparator" w:id="0">
    <w:p w:rsidR="00BA7E0D" w:rsidRDefault="00BA7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E0D" w:rsidRDefault="00BA7E0D">
      <w:r>
        <w:separator/>
      </w:r>
    </w:p>
  </w:footnote>
  <w:footnote w:type="continuationSeparator" w:id="0">
    <w:p w:rsidR="00BA7E0D" w:rsidRDefault="00BA7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1C3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1097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2BAB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20DE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A7E0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58B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D8D52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ukacija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a.gruj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AC95E-7844-429F-BA09-F6E29C22C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3087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2022-06-01T09:49:00Z</dcterms:created>
  <dcterms:modified xsi:type="dcterms:W3CDTF">2022-06-01T09:49:00Z</dcterms:modified>
</cp:coreProperties>
</file>